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D4301" w:rsidRDefault="006F380C">
      <w:pPr>
        <w:spacing w:line="360" w:lineRule="auto"/>
        <w:ind w:hanging="2"/>
        <w:jc w:val="both"/>
        <w:rPr>
          <w:rFonts w:ascii="Verdana" w:eastAsia="Verdana" w:hAnsi="Verdana" w:cs="Verdana"/>
          <w:sz w:val="22"/>
          <w:szCs w:val="22"/>
        </w:rPr>
      </w:pPr>
      <w:r>
        <w:rPr>
          <w:rFonts w:ascii="Verdana" w:eastAsia="Verdana" w:hAnsi="Verdana" w:cs="Verdana"/>
          <w:b/>
          <w:sz w:val="22"/>
          <w:szCs w:val="22"/>
        </w:rPr>
        <w:t xml:space="preserve">Comentario </w:t>
      </w:r>
      <w:r>
        <w:rPr>
          <w:rFonts w:ascii="Verdana" w:eastAsia="Verdana" w:hAnsi="Verdana" w:cs="Verdana"/>
          <w:b/>
          <w:sz w:val="22"/>
          <w:szCs w:val="22"/>
        </w:rPr>
        <w:t>bibliográfic</w:t>
      </w:r>
      <w:r>
        <w:rPr>
          <w:rFonts w:ascii="Verdana" w:eastAsia="Verdana" w:hAnsi="Verdana" w:cs="Verdana"/>
          <w:b/>
          <w:sz w:val="22"/>
          <w:szCs w:val="22"/>
        </w:rPr>
        <w:t>o</w:t>
      </w:r>
      <w:r>
        <w:rPr>
          <w:rFonts w:ascii="Verdana" w:eastAsia="Verdana" w:hAnsi="Verdana" w:cs="Verdana"/>
          <w:b/>
          <w:sz w:val="22"/>
          <w:szCs w:val="22"/>
        </w:rPr>
        <w:t xml:space="preserve"> </w:t>
      </w:r>
      <w:r>
        <w:rPr>
          <w:rFonts w:ascii="Verdana" w:eastAsia="Verdana" w:hAnsi="Verdana" w:cs="Verdana"/>
          <w:b/>
          <w:sz w:val="22"/>
          <w:szCs w:val="22"/>
        </w:rPr>
        <w:t>de</w:t>
      </w:r>
      <w:r>
        <w:rPr>
          <w:rFonts w:ascii="Verdana" w:eastAsia="Verdana" w:hAnsi="Verdana" w:cs="Verdana"/>
          <w:b/>
          <w:sz w:val="22"/>
          <w:szCs w:val="22"/>
        </w:rPr>
        <w:t xml:space="preserve"> "L</w:t>
      </w:r>
      <w:r>
        <w:rPr>
          <w:rFonts w:ascii="Verdana" w:eastAsia="Verdana" w:hAnsi="Verdana" w:cs="Verdana"/>
          <w:b/>
          <w:sz w:val="22"/>
          <w:szCs w:val="22"/>
        </w:rPr>
        <w:t>os delitos fiscales y su cuantificación normativa</w:t>
      </w:r>
      <w:r>
        <w:rPr>
          <w:rFonts w:ascii="Verdana" w:eastAsia="Verdana" w:hAnsi="Verdana" w:cs="Verdana"/>
          <w:b/>
          <w:sz w:val="22"/>
          <w:szCs w:val="22"/>
        </w:rPr>
        <w:t>", de Daniel Schurjin Almenar.</w:t>
      </w:r>
    </w:p>
    <w:p w14:paraId="00000002" w14:textId="77777777" w:rsidR="00CD4301" w:rsidRDefault="00CD4301">
      <w:pPr>
        <w:spacing w:line="360" w:lineRule="auto"/>
        <w:ind w:hanging="2"/>
        <w:jc w:val="both"/>
        <w:rPr>
          <w:rFonts w:ascii="Verdana" w:eastAsia="Verdana" w:hAnsi="Verdana" w:cs="Verdana"/>
          <w:sz w:val="22"/>
          <w:szCs w:val="22"/>
        </w:rPr>
      </w:pPr>
    </w:p>
    <w:p w14:paraId="00000003" w14:textId="77777777" w:rsidR="00CD4301" w:rsidRDefault="006F380C">
      <w:pPr>
        <w:spacing w:line="360" w:lineRule="auto"/>
        <w:ind w:hanging="2"/>
        <w:jc w:val="right"/>
        <w:rPr>
          <w:rFonts w:ascii="Verdana" w:eastAsia="Verdana" w:hAnsi="Verdana" w:cs="Verdana"/>
          <w:sz w:val="22"/>
          <w:szCs w:val="22"/>
        </w:rPr>
      </w:pPr>
      <w:r>
        <w:rPr>
          <w:rFonts w:ascii="Verdana" w:eastAsia="Verdana" w:hAnsi="Verdana" w:cs="Verdana"/>
          <w:sz w:val="22"/>
          <w:szCs w:val="22"/>
        </w:rPr>
        <w:t xml:space="preserve">Por Juan P. Fridenberg </w:t>
      </w:r>
      <w:r>
        <w:rPr>
          <w:rFonts w:ascii="Verdana" w:eastAsia="Verdana" w:hAnsi="Verdana" w:cs="Verdana"/>
          <w:sz w:val="22"/>
          <w:szCs w:val="22"/>
        </w:rPr>
        <w:br/>
      </w:r>
    </w:p>
    <w:p w14:paraId="00000004" w14:textId="77777777" w:rsidR="00CD4301" w:rsidRDefault="006F380C">
      <w:pPr>
        <w:spacing w:line="360" w:lineRule="auto"/>
        <w:ind w:hanging="2"/>
        <w:jc w:val="both"/>
        <w:rPr>
          <w:rFonts w:ascii="Verdana" w:eastAsia="Verdana" w:hAnsi="Verdana" w:cs="Verdana"/>
          <w:sz w:val="22"/>
          <w:szCs w:val="22"/>
        </w:rPr>
      </w:pPr>
      <w:r>
        <w:rPr>
          <w:rFonts w:ascii="Verdana" w:eastAsia="Verdana" w:hAnsi="Verdana" w:cs="Verdana"/>
          <w:b/>
          <w:sz w:val="22"/>
          <w:szCs w:val="22"/>
        </w:rPr>
        <w:t>I.- Ficha bibliográfica</w:t>
      </w:r>
    </w:p>
    <w:p w14:paraId="00000005" w14:textId="77777777" w:rsidR="00CD4301" w:rsidRDefault="006F380C">
      <w:pPr>
        <w:spacing w:line="360" w:lineRule="auto"/>
        <w:ind w:hanging="2"/>
        <w:jc w:val="both"/>
        <w:rPr>
          <w:rFonts w:ascii="Verdana" w:eastAsia="Verdana" w:hAnsi="Verdana" w:cs="Verdana"/>
          <w:sz w:val="22"/>
          <w:szCs w:val="22"/>
        </w:rPr>
      </w:pPr>
      <w:r>
        <w:rPr>
          <w:rFonts w:ascii="Verdana" w:eastAsia="Verdana" w:hAnsi="Verdana" w:cs="Verdana"/>
          <w:sz w:val="22"/>
          <w:szCs w:val="22"/>
        </w:rPr>
        <w:t xml:space="preserve">Autor: Daniel SCHURJIN </w:t>
      </w:r>
      <w:r>
        <w:rPr>
          <w:rFonts w:ascii="Verdana" w:eastAsia="Verdana" w:hAnsi="Verdana" w:cs="Verdana"/>
          <w:sz w:val="22"/>
          <w:szCs w:val="22"/>
        </w:rPr>
        <w:t>ALMENAR</w:t>
      </w:r>
    </w:p>
    <w:p w14:paraId="00000006" w14:textId="77777777" w:rsidR="00CD4301" w:rsidRDefault="006F380C">
      <w:pPr>
        <w:spacing w:line="360" w:lineRule="auto"/>
        <w:ind w:hanging="2"/>
        <w:jc w:val="both"/>
        <w:rPr>
          <w:rFonts w:ascii="Verdana" w:eastAsia="Verdana" w:hAnsi="Verdana" w:cs="Verdana"/>
          <w:sz w:val="22"/>
          <w:szCs w:val="22"/>
        </w:rPr>
      </w:pPr>
      <w:r>
        <w:rPr>
          <w:rFonts w:ascii="Verdana" w:eastAsia="Verdana" w:hAnsi="Verdana" w:cs="Verdana"/>
          <w:sz w:val="22"/>
          <w:szCs w:val="22"/>
        </w:rPr>
        <w:t xml:space="preserve">Título: </w:t>
      </w:r>
      <w:r>
        <w:rPr>
          <w:rFonts w:ascii="Verdana" w:eastAsia="Verdana" w:hAnsi="Verdana" w:cs="Verdana"/>
          <w:sz w:val="22"/>
          <w:szCs w:val="22"/>
        </w:rPr>
        <w:t>Los delitos fiscales y su cuantificación normativa</w:t>
      </w:r>
    </w:p>
    <w:p w14:paraId="00000007" w14:textId="77777777" w:rsidR="00CD4301" w:rsidRDefault="006F380C">
      <w:pPr>
        <w:spacing w:line="360" w:lineRule="auto"/>
        <w:ind w:hanging="2"/>
        <w:jc w:val="both"/>
        <w:rPr>
          <w:rFonts w:ascii="Verdana" w:eastAsia="Verdana" w:hAnsi="Verdana" w:cs="Verdana"/>
          <w:sz w:val="22"/>
          <w:szCs w:val="22"/>
        </w:rPr>
      </w:pPr>
      <w:r>
        <w:rPr>
          <w:rFonts w:ascii="Verdana" w:eastAsia="Verdana" w:hAnsi="Verdana" w:cs="Verdana"/>
          <w:sz w:val="22"/>
          <w:szCs w:val="22"/>
        </w:rPr>
        <w:t>Lugar: Buenos Aires</w:t>
      </w:r>
    </w:p>
    <w:p w14:paraId="00000008" w14:textId="77777777" w:rsidR="00CD4301" w:rsidRDefault="006F380C">
      <w:pPr>
        <w:spacing w:line="360" w:lineRule="auto"/>
        <w:ind w:hanging="2"/>
        <w:jc w:val="both"/>
        <w:rPr>
          <w:rFonts w:ascii="Verdana" w:eastAsia="Verdana" w:hAnsi="Verdana" w:cs="Verdana"/>
          <w:sz w:val="22"/>
          <w:szCs w:val="22"/>
        </w:rPr>
      </w:pPr>
      <w:r>
        <w:rPr>
          <w:rFonts w:ascii="Verdana" w:eastAsia="Verdana" w:hAnsi="Verdana" w:cs="Verdana"/>
          <w:sz w:val="22"/>
          <w:szCs w:val="22"/>
        </w:rPr>
        <w:t>Editor: Ad Hoc S.R.L.</w:t>
      </w:r>
    </w:p>
    <w:p w14:paraId="00000009" w14:textId="77777777" w:rsidR="00CD4301" w:rsidRDefault="006F380C">
      <w:pPr>
        <w:spacing w:line="360" w:lineRule="auto"/>
        <w:ind w:hanging="2"/>
        <w:jc w:val="both"/>
        <w:rPr>
          <w:rFonts w:ascii="Verdana" w:eastAsia="Verdana" w:hAnsi="Verdana" w:cs="Verdana"/>
          <w:sz w:val="22"/>
          <w:szCs w:val="22"/>
        </w:rPr>
      </w:pPr>
      <w:r>
        <w:rPr>
          <w:rFonts w:ascii="Verdana" w:eastAsia="Verdana" w:hAnsi="Verdana" w:cs="Verdana"/>
          <w:sz w:val="22"/>
          <w:szCs w:val="22"/>
        </w:rPr>
        <w:t>Año: 20</w:t>
      </w:r>
      <w:r>
        <w:rPr>
          <w:rFonts w:ascii="Verdana" w:eastAsia="Verdana" w:hAnsi="Verdana" w:cs="Verdana"/>
          <w:sz w:val="22"/>
          <w:szCs w:val="22"/>
        </w:rPr>
        <w:t>23</w:t>
      </w:r>
    </w:p>
    <w:p w14:paraId="0000000A" w14:textId="77777777" w:rsidR="00CD4301" w:rsidRDefault="006F380C">
      <w:pPr>
        <w:spacing w:line="360" w:lineRule="auto"/>
        <w:ind w:hanging="2"/>
        <w:jc w:val="both"/>
        <w:rPr>
          <w:rFonts w:ascii="Verdana" w:eastAsia="Verdana" w:hAnsi="Verdana" w:cs="Verdana"/>
          <w:sz w:val="22"/>
          <w:szCs w:val="22"/>
        </w:rPr>
      </w:pPr>
      <w:r>
        <w:rPr>
          <w:rFonts w:ascii="Verdana" w:eastAsia="Verdana" w:hAnsi="Verdana" w:cs="Verdana"/>
          <w:sz w:val="22"/>
          <w:szCs w:val="22"/>
        </w:rPr>
        <w:t>ISBN: 978-987-745-</w:t>
      </w:r>
      <w:r>
        <w:rPr>
          <w:rFonts w:ascii="Verdana" w:eastAsia="Verdana" w:hAnsi="Verdana" w:cs="Verdana"/>
          <w:sz w:val="22"/>
          <w:szCs w:val="22"/>
        </w:rPr>
        <w:t>257</w:t>
      </w:r>
      <w:r>
        <w:rPr>
          <w:rFonts w:ascii="Verdana" w:eastAsia="Verdana" w:hAnsi="Verdana" w:cs="Verdana"/>
          <w:sz w:val="22"/>
          <w:szCs w:val="22"/>
        </w:rPr>
        <w:t>-</w:t>
      </w:r>
      <w:r>
        <w:rPr>
          <w:rFonts w:ascii="Verdana" w:eastAsia="Verdana" w:hAnsi="Verdana" w:cs="Verdana"/>
          <w:sz w:val="22"/>
          <w:szCs w:val="22"/>
        </w:rPr>
        <w:t>0</w:t>
      </w:r>
    </w:p>
    <w:p w14:paraId="0000000B" w14:textId="77777777" w:rsidR="00CD4301" w:rsidRDefault="006F380C">
      <w:pPr>
        <w:spacing w:line="360" w:lineRule="auto"/>
        <w:ind w:hanging="2"/>
        <w:jc w:val="both"/>
        <w:rPr>
          <w:rFonts w:ascii="Verdana" w:eastAsia="Verdana" w:hAnsi="Verdana" w:cs="Verdana"/>
          <w:sz w:val="22"/>
          <w:szCs w:val="22"/>
        </w:rPr>
      </w:pPr>
      <w:r>
        <w:rPr>
          <w:rFonts w:ascii="Verdana" w:eastAsia="Verdana" w:hAnsi="Verdana" w:cs="Verdana"/>
          <w:sz w:val="22"/>
          <w:szCs w:val="22"/>
        </w:rPr>
        <w:t>19</w:t>
      </w:r>
      <w:r>
        <w:rPr>
          <w:rFonts w:ascii="Verdana" w:eastAsia="Verdana" w:hAnsi="Verdana" w:cs="Verdana"/>
          <w:sz w:val="22"/>
          <w:szCs w:val="22"/>
        </w:rPr>
        <w:t xml:space="preserve">4 </w:t>
      </w:r>
      <w:proofErr w:type="spellStart"/>
      <w:r>
        <w:rPr>
          <w:rFonts w:ascii="Verdana" w:eastAsia="Verdana" w:hAnsi="Verdana" w:cs="Verdana"/>
          <w:sz w:val="22"/>
          <w:szCs w:val="22"/>
        </w:rPr>
        <w:t>pgs</w:t>
      </w:r>
      <w:proofErr w:type="spellEnd"/>
      <w:r>
        <w:rPr>
          <w:rFonts w:ascii="Verdana" w:eastAsia="Verdana" w:hAnsi="Verdana" w:cs="Verdana"/>
          <w:sz w:val="22"/>
          <w:szCs w:val="22"/>
        </w:rPr>
        <w:t>.</w:t>
      </w:r>
    </w:p>
    <w:p w14:paraId="0000000C" w14:textId="77777777" w:rsidR="00CD4301" w:rsidRDefault="00CD4301">
      <w:pPr>
        <w:spacing w:line="360" w:lineRule="auto"/>
        <w:ind w:hanging="2"/>
        <w:jc w:val="both"/>
        <w:rPr>
          <w:rFonts w:ascii="Verdana" w:eastAsia="Verdana" w:hAnsi="Verdana" w:cs="Verdana"/>
          <w:sz w:val="22"/>
          <w:szCs w:val="22"/>
        </w:rPr>
      </w:pPr>
    </w:p>
    <w:p w14:paraId="0000000D" w14:textId="77777777" w:rsidR="00CD4301" w:rsidRDefault="006F380C">
      <w:pPr>
        <w:spacing w:line="360" w:lineRule="auto"/>
        <w:ind w:hanging="2"/>
        <w:jc w:val="both"/>
        <w:rPr>
          <w:rFonts w:ascii="Verdana" w:eastAsia="Verdana" w:hAnsi="Verdana" w:cs="Verdana"/>
          <w:sz w:val="22"/>
          <w:szCs w:val="22"/>
        </w:rPr>
      </w:pPr>
      <w:r>
        <w:rPr>
          <w:rFonts w:ascii="Verdana" w:eastAsia="Verdana" w:hAnsi="Verdana" w:cs="Verdana"/>
          <w:b/>
          <w:sz w:val="22"/>
          <w:szCs w:val="22"/>
        </w:rPr>
        <w:t xml:space="preserve">II. </w:t>
      </w:r>
      <w:r>
        <w:rPr>
          <w:rFonts w:ascii="Verdana" w:eastAsia="Verdana" w:hAnsi="Verdana" w:cs="Verdana"/>
          <w:sz w:val="22"/>
          <w:szCs w:val="22"/>
        </w:rPr>
        <w:t>Suele ser útil, cuando no fundamental, conocer la trayectoria del autor de una obra para entender mejor su contenido, la perspectiva del análisis y, en definitiva, lo</w:t>
      </w:r>
      <w:r>
        <w:rPr>
          <w:rFonts w:ascii="Verdana" w:eastAsia="Verdana" w:hAnsi="Verdana" w:cs="Verdana"/>
          <w:sz w:val="22"/>
          <w:szCs w:val="22"/>
        </w:rPr>
        <w:t xml:space="preserve">s beneficios de su lectura. </w:t>
      </w:r>
    </w:p>
    <w:p w14:paraId="0000000E" w14:textId="77777777" w:rsidR="00CD4301" w:rsidRDefault="00CD4301">
      <w:pPr>
        <w:spacing w:line="360" w:lineRule="auto"/>
        <w:ind w:hanging="2"/>
        <w:jc w:val="both"/>
        <w:rPr>
          <w:rFonts w:ascii="Verdana" w:eastAsia="Verdana" w:hAnsi="Verdana" w:cs="Verdana"/>
          <w:sz w:val="22"/>
          <w:szCs w:val="22"/>
        </w:rPr>
      </w:pPr>
    </w:p>
    <w:p w14:paraId="0000000F" w14:textId="25B6E24E" w:rsidR="00CD4301" w:rsidRDefault="006F380C">
      <w:pPr>
        <w:spacing w:line="360" w:lineRule="auto"/>
        <w:ind w:hanging="2"/>
        <w:jc w:val="both"/>
        <w:rPr>
          <w:rFonts w:ascii="Verdana" w:eastAsia="Verdana" w:hAnsi="Verdana" w:cs="Verdana"/>
          <w:sz w:val="22"/>
          <w:szCs w:val="22"/>
        </w:rPr>
      </w:pPr>
      <w:r>
        <w:rPr>
          <w:rFonts w:ascii="Verdana" w:eastAsia="Verdana" w:hAnsi="Verdana" w:cs="Verdana"/>
          <w:sz w:val="22"/>
          <w:szCs w:val="22"/>
        </w:rPr>
        <w:t>En este caso, como explica el prologuista de la obra que comentamos, Dr. Mariano H. Borinsky, se trata de un autor con amplia trayectoria profesional y académica en materia penal económica. Sus antecedentes en la función públi</w:t>
      </w:r>
      <w:r>
        <w:rPr>
          <w:rFonts w:ascii="Verdana" w:eastAsia="Verdana" w:hAnsi="Verdana" w:cs="Verdana"/>
          <w:sz w:val="22"/>
          <w:szCs w:val="22"/>
        </w:rPr>
        <w:t xml:space="preserve">ca (Poder judicial y PGN), docencia (UBA, entre otras, tanto en grado como posgrado), literatura científica e investigación me permiten prescindir de mayores </w:t>
      </w:r>
      <w:r w:rsidR="00F61DA3">
        <w:rPr>
          <w:rFonts w:ascii="Verdana" w:eastAsia="Verdana" w:hAnsi="Verdana" w:cs="Verdana"/>
          <w:sz w:val="22"/>
          <w:szCs w:val="22"/>
        </w:rPr>
        <w:t>detalles en este espacio, limitá</w:t>
      </w:r>
      <w:r>
        <w:rPr>
          <w:rFonts w:ascii="Verdana" w:eastAsia="Verdana" w:hAnsi="Verdana" w:cs="Verdana"/>
          <w:sz w:val="22"/>
          <w:szCs w:val="22"/>
        </w:rPr>
        <w:t>ndome a saludar la publicación de su primer libro en carácter de a</w:t>
      </w:r>
      <w:r>
        <w:rPr>
          <w:rFonts w:ascii="Verdana" w:eastAsia="Verdana" w:hAnsi="Verdana" w:cs="Verdana"/>
          <w:sz w:val="22"/>
          <w:szCs w:val="22"/>
        </w:rPr>
        <w:t xml:space="preserve">utor. </w:t>
      </w:r>
    </w:p>
    <w:p w14:paraId="00000010" w14:textId="77777777" w:rsidR="00CD4301" w:rsidRDefault="00CD4301">
      <w:pPr>
        <w:spacing w:line="360" w:lineRule="auto"/>
        <w:ind w:hanging="2"/>
        <w:jc w:val="both"/>
        <w:rPr>
          <w:rFonts w:ascii="Verdana" w:eastAsia="Verdana" w:hAnsi="Verdana" w:cs="Verdana"/>
          <w:sz w:val="22"/>
          <w:szCs w:val="22"/>
        </w:rPr>
      </w:pPr>
    </w:p>
    <w:p w14:paraId="00000011" w14:textId="77777777" w:rsidR="00CD4301" w:rsidRDefault="006F380C">
      <w:pPr>
        <w:spacing w:line="360" w:lineRule="auto"/>
        <w:ind w:hanging="2"/>
        <w:jc w:val="both"/>
        <w:rPr>
          <w:rFonts w:ascii="Verdana" w:eastAsia="Verdana" w:hAnsi="Verdana" w:cs="Verdana"/>
          <w:sz w:val="22"/>
          <w:szCs w:val="22"/>
        </w:rPr>
      </w:pPr>
      <w:r>
        <w:rPr>
          <w:rFonts w:ascii="Verdana" w:eastAsia="Verdana" w:hAnsi="Verdana" w:cs="Verdana"/>
          <w:sz w:val="22"/>
          <w:szCs w:val="22"/>
        </w:rPr>
        <w:t xml:space="preserve">La obra se estructura en </w:t>
      </w:r>
      <w:r>
        <w:rPr>
          <w:rFonts w:ascii="Verdana" w:eastAsia="Verdana" w:hAnsi="Verdana" w:cs="Verdana"/>
          <w:sz w:val="22"/>
          <w:szCs w:val="22"/>
        </w:rPr>
        <w:t xml:space="preserve">seis </w:t>
      </w:r>
      <w:r>
        <w:rPr>
          <w:rFonts w:ascii="Verdana" w:eastAsia="Verdana" w:hAnsi="Verdana" w:cs="Verdana"/>
          <w:sz w:val="22"/>
          <w:szCs w:val="22"/>
        </w:rPr>
        <w:t xml:space="preserve">apartados. </w:t>
      </w:r>
    </w:p>
    <w:p w14:paraId="00000012" w14:textId="77777777" w:rsidR="00CD4301" w:rsidRDefault="006F380C">
      <w:pPr>
        <w:spacing w:line="360" w:lineRule="auto"/>
        <w:ind w:hanging="2"/>
        <w:jc w:val="both"/>
        <w:rPr>
          <w:rFonts w:ascii="Verdana" w:eastAsia="Verdana" w:hAnsi="Verdana" w:cs="Verdana"/>
          <w:sz w:val="22"/>
          <w:szCs w:val="22"/>
        </w:rPr>
      </w:pPr>
      <w:r>
        <w:rPr>
          <w:rFonts w:ascii="Verdana" w:eastAsia="Verdana" w:hAnsi="Verdana" w:cs="Verdana"/>
          <w:sz w:val="22"/>
          <w:szCs w:val="22"/>
        </w:rPr>
        <w:t>El primero</w:t>
      </w:r>
      <w:r>
        <w:rPr>
          <w:rFonts w:ascii="Verdana" w:eastAsia="Verdana" w:hAnsi="Verdana" w:cs="Verdana"/>
          <w:sz w:val="22"/>
          <w:szCs w:val="22"/>
        </w:rPr>
        <w:t xml:space="preserve">, introductorio, incluye el planteamiento de la hipótesis que guiará el desarrollo de la obra y que no deja lugar a distracciones, al preguntarse si el Régimen Penal Tributario argentino arrastra </w:t>
      </w:r>
      <w:r>
        <w:rPr>
          <w:rFonts w:ascii="Verdana" w:eastAsia="Verdana" w:hAnsi="Verdana" w:cs="Verdana"/>
          <w:sz w:val="22"/>
          <w:szCs w:val="22"/>
        </w:rPr>
        <w:t xml:space="preserve">una deficiente técnica legislativa, al cuantificar nominalmente los montos del perjuicio fiscal allí donde sus figuras lo prevén.  </w:t>
      </w:r>
    </w:p>
    <w:p w14:paraId="00000013" w14:textId="77777777" w:rsidR="00CD4301" w:rsidRDefault="00CD4301">
      <w:pPr>
        <w:spacing w:line="360" w:lineRule="auto"/>
        <w:ind w:hanging="2"/>
        <w:jc w:val="both"/>
        <w:rPr>
          <w:rFonts w:ascii="Verdana" w:eastAsia="Verdana" w:hAnsi="Verdana" w:cs="Verdana"/>
          <w:sz w:val="22"/>
          <w:szCs w:val="22"/>
        </w:rPr>
      </w:pPr>
    </w:p>
    <w:p w14:paraId="00000014" w14:textId="0E74572B" w:rsidR="00CD4301" w:rsidRDefault="006F380C">
      <w:pPr>
        <w:spacing w:line="360" w:lineRule="auto"/>
        <w:ind w:hanging="2"/>
        <w:jc w:val="both"/>
        <w:rPr>
          <w:rFonts w:ascii="Verdana" w:eastAsia="Verdana" w:hAnsi="Verdana" w:cs="Verdana"/>
          <w:sz w:val="22"/>
          <w:szCs w:val="22"/>
        </w:rPr>
      </w:pPr>
      <w:r>
        <w:rPr>
          <w:rFonts w:ascii="Verdana" w:eastAsia="Verdana" w:hAnsi="Verdana" w:cs="Verdana"/>
          <w:sz w:val="22"/>
          <w:szCs w:val="22"/>
        </w:rPr>
        <w:lastRenderedPageBreak/>
        <w:t>A partir de allí, luego de ciertas precisiones conceptuales y sobre el marco normativo vigente, metodológicamente indispens</w:t>
      </w:r>
      <w:r w:rsidR="00F61DA3">
        <w:rPr>
          <w:rFonts w:ascii="Verdana" w:eastAsia="Verdana" w:hAnsi="Verdana" w:cs="Verdana"/>
          <w:sz w:val="22"/>
          <w:szCs w:val="22"/>
        </w:rPr>
        <w:t>ables, Schurji</w:t>
      </w:r>
      <w:r>
        <w:rPr>
          <w:rFonts w:ascii="Verdana" w:eastAsia="Verdana" w:hAnsi="Verdana" w:cs="Verdana"/>
          <w:sz w:val="22"/>
          <w:szCs w:val="22"/>
        </w:rPr>
        <w:t>n Almenar efectúa un repaso sobre todas las modificaciones sufridas por el sistema represivo en materia tributaria de nuestro país con posterioridad a la derogación (parcial) de la Ley de  Convertibilidad, señalada por el autor como el hito a</w:t>
      </w:r>
      <w:r>
        <w:rPr>
          <w:rFonts w:ascii="Verdana" w:eastAsia="Verdana" w:hAnsi="Verdana" w:cs="Verdana"/>
          <w:sz w:val="22"/>
          <w:szCs w:val="22"/>
        </w:rPr>
        <w:t xml:space="preserve"> partir del cual la técnica legislativa basada en la nominalidad de los umbrales cuantitativos comienza a evidenciar su obsolescencia. </w:t>
      </w:r>
    </w:p>
    <w:p w14:paraId="00000015" w14:textId="77777777" w:rsidR="00CD4301" w:rsidRDefault="00CD4301">
      <w:pPr>
        <w:spacing w:line="360" w:lineRule="auto"/>
        <w:ind w:hanging="2"/>
        <w:jc w:val="both"/>
        <w:rPr>
          <w:rFonts w:ascii="Verdana" w:eastAsia="Verdana" w:hAnsi="Verdana" w:cs="Verdana"/>
          <w:sz w:val="22"/>
          <w:szCs w:val="22"/>
        </w:rPr>
      </w:pPr>
    </w:p>
    <w:p w14:paraId="00000016" w14:textId="748DD4AE" w:rsidR="00CD4301" w:rsidRDefault="006F380C">
      <w:pPr>
        <w:spacing w:line="360" w:lineRule="auto"/>
        <w:ind w:hanging="2"/>
        <w:jc w:val="both"/>
        <w:rPr>
          <w:rFonts w:ascii="Verdana" w:eastAsia="Verdana" w:hAnsi="Verdana" w:cs="Verdana"/>
          <w:sz w:val="22"/>
          <w:szCs w:val="22"/>
        </w:rPr>
      </w:pPr>
      <w:r>
        <w:rPr>
          <w:rFonts w:ascii="Verdana" w:eastAsia="Verdana" w:hAnsi="Verdana" w:cs="Verdana"/>
          <w:sz w:val="22"/>
          <w:szCs w:val="22"/>
        </w:rPr>
        <w:t>Ese derrotero normativo incluye a las leyes 26.063, 26.735 y (la vigente) 27.430, y es adjetivado por el autor como “op</w:t>
      </w:r>
      <w:r>
        <w:rPr>
          <w:rFonts w:ascii="Verdana" w:eastAsia="Verdana" w:hAnsi="Verdana" w:cs="Verdana"/>
          <w:sz w:val="22"/>
          <w:szCs w:val="22"/>
        </w:rPr>
        <w:t>ortunidades perdidas” para mejorar esta técnica legislativa, en favor de distintas alternativas que pedagógica y exhaustivamente se encarga de extraer del historial legislativo de nuestro p</w:t>
      </w:r>
      <w:r w:rsidR="00F61DA3">
        <w:rPr>
          <w:rFonts w:ascii="Verdana" w:eastAsia="Verdana" w:hAnsi="Verdana" w:cs="Verdana"/>
          <w:sz w:val="22"/>
          <w:szCs w:val="22"/>
        </w:rPr>
        <w:t>aís en diversas materias (inclui</w:t>
      </w:r>
      <w:r>
        <w:rPr>
          <w:rFonts w:ascii="Verdana" w:eastAsia="Verdana" w:hAnsi="Verdana" w:cs="Verdana"/>
          <w:sz w:val="22"/>
          <w:szCs w:val="22"/>
        </w:rPr>
        <w:t>da la represiva en el ámbito fiscal</w:t>
      </w:r>
      <w:r w:rsidR="00F61DA3">
        <w:rPr>
          <w:rFonts w:ascii="Verdana" w:eastAsia="Verdana" w:hAnsi="Verdana" w:cs="Verdana"/>
          <w:sz w:val="22"/>
          <w:szCs w:val="22"/>
        </w:rPr>
        <w:t xml:space="preserve">, tomando como ejemplo a la </w:t>
      </w:r>
      <w:r>
        <w:rPr>
          <w:rFonts w:ascii="Verdana" w:eastAsia="Verdana" w:hAnsi="Verdana" w:cs="Verdana"/>
          <w:sz w:val="22"/>
          <w:szCs w:val="22"/>
        </w:rPr>
        <w:t xml:space="preserve">primera ley 23.771). </w:t>
      </w:r>
    </w:p>
    <w:p w14:paraId="00000017" w14:textId="77777777" w:rsidR="00CD4301" w:rsidRDefault="00CD4301">
      <w:pPr>
        <w:spacing w:line="360" w:lineRule="auto"/>
        <w:ind w:hanging="2"/>
        <w:jc w:val="both"/>
        <w:rPr>
          <w:rFonts w:ascii="Verdana" w:eastAsia="Verdana" w:hAnsi="Verdana" w:cs="Verdana"/>
          <w:b/>
          <w:sz w:val="22"/>
          <w:szCs w:val="22"/>
        </w:rPr>
      </w:pPr>
    </w:p>
    <w:p w14:paraId="00000018" w14:textId="77777777" w:rsidR="00CD4301" w:rsidRDefault="00CD4301">
      <w:pPr>
        <w:spacing w:line="360" w:lineRule="auto"/>
        <w:ind w:hanging="2"/>
        <w:jc w:val="both"/>
        <w:rPr>
          <w:rFonts w:ascii="Verdana" w:eastAsia="Verdana" w:hAnsi="Verdana" w:cs="Verdana"/>
          <w:sz w:val="22"/>
          <w:szCs w:val="22"/>
        </w:rPr>
      </w:pPr>
    </w:p>
    <w:p w14:paraId="00000019" w14:textId="77777777" w:rsidR="00CD4301" w:rsidRDefault="006F380C">
      <w:pPr>
        <w:spacing w:line="360" w:lineRule="auto"/>
        <w:ind w:hanging="2"/>
        <w:jc w:val="both"/>
        <w:rPr>
          <w:rFonts w:ascii="Verdana" w:eastAsia="Verdana" w:hAnsi="Verdana" w:cs="Verdana"/>
          <w:sz w:val="22"/>
          <w:szCs w:val="22"/>
        </w:rPr>
      </w:pPr>
      <w:r>
        <w:rPr>
          <w:rFonts w:ascii="Verdana" w:eastAsia="Verdana" w:hAnsi="Verdana" w:cs="Verdana"/>
          <w:b/>
          <w:sz w:val="22"/>
          <w:szCs w:val="22"/>
        </w:rPr>
        <w:t>III.- Comentarios</w:t>
      </w:r>
    </w:p>
    <w:p w14:paraId="0000001A" w14:textId="77777777" w:rsidR="00CD4301" w:rsidRDefault="00CD4301">
      <w:pPr>
        <w:spacing w:line="360" w:lineRule="auto"/>
        <w:ind w:hanging="2"/>
        <w:jc w:val="both"/>
        <w:rPr>
          <w:rFonts w:ascii="Verdana" w:eastAsia="Verdana" w:hAnsi="Verdana" w:cs="Verdana"/>
          <w:sz w:val="22"/>
          <w:szCs w:val="22"/>
        </w:rPr>
      </w:pPr>
    </w:p>
    <w:p w14:paraId="0000001B" w14:textId="77777777" w:rsidR="00CD4301" w:rsidRDefault="006F380C">
      <w:pPr>
        <w:spacing w:line="360" w:lineRule="auto"/>
        <w:ind w:hanging="2"/>
        <w:jc w:val="both"/>
        <w:rPr>
          <w:rFonts w:ascii="Verdana" w:eastAsia="Verdana" w:hAnsi="Verdana" w:cs="Verdana"/>
          <w:sz w:val="22"/>
          <w:szCs w:val="22"/>
        </w:rPr>
      </w:pPr>
      <w:r>
        <w:rPr>
          <w:rFonts w:ascii="Verdana" w:eastAsia="Verdana" w:hAnsi="Verdana" w:cs="Verdana"/>
          <w:sz w:val="22"/>
          <w:szCs w:val="22"/>
        </w:rPr>
        <w:t>En un trabajo reciente nos planteamos qué niveles de afectación a la hacienda pública debe tolerar el Estado en función de la legitimidad de su sistema penal tributario.</w:t>
      </w:r>
    </w:p>
    <w:p w14:paraId="0000001C" w14:textId="77777777" w:rsidR="00CD4301" w:rsidRDefault="006F380C">
      <w:pPr>
        <w:spacing w:line="360" w:lineRule="auto"/>
        <w:ind w:hanging="2"/>
        <w:jc w:val="both"/>
        <w:rPr>
          <w:rFonts w:ascii="Verdana" w:eastAsia="Verdana" w:hAnsi="Verdana" w:cs="Verdana"/>
          <w:sz w:val="22"/>
          <w:szCs w:val="22"/>
        </w:rPr>
      </w:pPr>
      <w:r>
        <w:rPr>
          <w:rFonts w:ascii="Verdana" w:eastAsia="Verdana" w:hAnsi="Verdana" w:cs="Verdana"/>
          <w:sz w:val="22"/>
          <w:szCs w:val="22"/>
        </w:rPr>
        <w:t>A diferencia de otros ejemplos del derecho comparado</w:t>
      </w:r>
      <w:r>
        <w:rPr>
          <w:rFonts w:ascii="Verdana" w:eastAsia="Verdana" w:hAnsi="Verdana" w:cs="Verdana"/>
          <w:sz w:val="22"/>
          <w:szCs w:val="22"/>
          <w:vertAlign w:val="superscript"/>
        </w:rPr>
        <w:footnoteReference w:id="1"/>
      </w:r>
      <w:r>
        <w:rPr>
          <w:rFonts w:ascii="Verdana" w:eastAsia="Verdana" w:hAnsi="Verdana" w:cs="Verdana"/>
          <w:sz w:val="22"/>
          <w:szCs w:val="22"/>
        </w:rPr>
        <w:t>, el delito de evasión del régimen argentino es de los denominados de lesión</w:t>
      </w:r>
      <w:r>
        <w:rPr>
          <w:rFonts w:ascii="Verdana" w:eastAsia="Verdana" w:hAnsi="Verdana" w:cs="Verdana"/>
          <w:sz w:val="22"/>
          <w:szCs w:val="22"/>
          <w:vertAlign w:val="superscript"/>
        </w:rPr>
        <w:footnoteReference w:id="2"/>
      </w:r>
      <w:r>
        <w:rPr>
          <w:rFonts w:ascii="Verdana" w:eastAsia="Verdana" w:hAnsi="Verdana" w:cs="Verdana"/>
          <w:sz w:val="22"/>
          <w:szCs w:val="22"/>
        </w:rPr>
        <w:t>. La aplicación de la sanción penal requiere necesariamente que el bien jurídico tutelado sea efectivamente lesionado, no conformándose con su sola puesta en peligro.</w:t>
      </w:r>
    </w:p>
    <w:p w14:paraId="0000001D" w14:textId="77777777" w:rsidR="00CD4301" w:rsidRDefault="006F380C">
      <w:pPr>
        <w:spacing w:line="360" w:lineRule="auto"/>
        <w:ind w:hanging="2"/>
        <w:jc w:val="both"/>
        <w:rPr>
          <w:rFonts w:ascii="Verdana" w:eastAsia="Verdana" w:hAnsi="Verdana" w:cs="Verdana"/>
          <w:sz w:val="22"/>
          <w:szCs w:val="22"/>
        </w:rPr>
      </w:pPr>
      <w:r>
        <w:rPr>
          <w:rFonts w:ascii="Verdana" w:eastAsia="Verdana" w:hAnsi="Verdana" w:cs="Verdana"/>
          <w:sz w:val="22"/>
          <w:szCs w:val="22"/>
        </w:rPr>
        <w:lastRenderedPageBreak/>
        <w:t>Ahora bien, dentro de los ordenamientos que han adoptado la misma línea político criminal</w:t>
      </w:r>
      <w:r>
        <w:rPr>
          <w:rFonts w:ascii="Verdana" w:eastAsia="Verdana" w:hAnsi="Verdana" w:cs="Verdana"/>
          <w:sz w:val="22"/>
          <w:szCs w:val="22"/>
        </w:rPr>
        <w:t>, podemos distinguir a aquellos que, amén de la lesión efectiva a las arcas públicas, requieren la superación de ciertas cantidades para que la conducta adquiera relevancia penal. Ello, a través de la previsión expresa de montos mínimos, proporciones, o un</w:t>
      </w:r>
      <w:r>
        <w:rPr>
          <w:rFonts w:ascii="Verdana" w:eastAsia="Verdana" w:hAnsi="Verdana" w:cs="Verdana"/>
          <w:sz w:val="22"/>
          <w:szCs w:val="22"/>
        </w:rPr>
        <w:t xml:space="preserve">idades de valor, que emergen de una decisión de política legislativa, en línea con la exigencia constitucional de reprimir conductas que ofendan al bien jurídico tutelado de modo relevante. </w:t>
      </w:r>
    </w:p>
    <w:p w14:paraId="0000001E" w14:textId="77777777" w:rsidR="00CD4301" w:rsidRDefault="006F380C">
      <w:pPr>
        <w:spacing w:line="360" w:lineRule="auto"/>
        <w:ind w:hanging="2"/>
        <w:jc w:val="both"/>
        <w:rPr>
          <w:rFonts w:ascii="Verdana" w:eastAsia="Verdana" w:hAnsi="Verdana" w:cs="Verdana"/>
          <w:sz w:val="22"/>
          <w:szCs w:val="22"/>
        </w:rPr>
      </w:pPr>
      <w:r>
        <w:rPr>
          <w:rFonts w:ascii="Verdana" w:eastAsia="Verdana" w:hAnsi="Verdana" w:cs="Verdana"/>
          <w:sz w:val="22"/>
          <w:szCs w:val="22"/>
        </w:rPr>
        <w:t>El problema es el encuentro de la técnica legislativas de los umb</w:t>
      </w:r>
      <w:r>
        <w:rPr>
          <w:rFonts w:ascii="Verdana" w:eastAsia="Verdana" w:hAnsi="Verdana" w:cs="Verdana"/>
          <w:sz w:val="22"/>
          <w:szCs w:val="22"/>
        </w:rPr>
        <w:t xml:space="preserve">rales fijos, en moneda nacional, con un contexto económico de depreciación de la misma, </w:t>
      </w:r>
      <w:proofErr w:type="spellStart"/>
      <w:r>
        <w:rPr>
          <w:rFonts w:ascii="Verdana" w:eastAsia="Verdana" w:hAnsi="Verdana" w:cs="Verdana"/>
          <w:sz w:val="22"/>
          <w:szCs w:val="22"/>
        </w:rPr>
        <w:t>descalibrando</w:t>
      </w:r>
      <w:proofErr w:type="spellEnd"/>
      <w:r>
        <w:rPr>
          <w:rFonts w:ascii="Verdana" w:eastAsia="Verdana" w:hAnsi="Verdana" w:cs="Verdana"/>
          <w:sz w:val="22"/>
          <w:szCs w:val="22"/>
        </w:rPr>
        <w:t xml:space="preserve"> las razones político criminales que llevaron a su sanción. Ello a su vez impone la necesidad de tediosas modificaciones legislativas, con el sacrificio ju</w:t>
      </w:r>
      <w:r>
        <w:rPr>
          <w:rFonts w:ascii="Verdana" w:eastAsia="Verdana" w:hAnsi="Verdana" w:cs="Verdana"/>
          <w:sz w:val="22"/>
          <w:szCs w:val="22"/>
        </w:rPr>
        <w:t>risdiccional que ello apareja por la aplicación retroactiva de estas reformas (art. 2 CP), entre otras deficiencias.</w:t>
      </w:r>
    </w:p>
    <w:p w14:paraId="0000001F" w14:textId="77777777" w:rsidR="00CD4301" w:rsidRDefault="006F380C">
      <w:pPr>
        <w:spacing w:line="360" w:lineRule="auto"/>
        <w:ind w:hanging="2"/>
        <w:jc w:val="both"/>
        <w:rPr>
          <w:rFonts w:ascii="Verdana" w:eastAsia="Verdana" w:hAnsi="Verdana" w:cs="Verdana"/>
          <w:sz w:val="22"/>
          <w:szCs w:val="22"/>
        </w:rPr>
      </w:pPr>
      <w:r>
        <w:rPr>
          <w:rFonts w:ascii="Verdana" w:eastAsia="Verdana" w:hAnsi="Verdana" w:cs="Verdana"/>
          <w:sz w:val="22"/>
          <w:szCs w:val="22"/>
        </w:rPr>
        <w:t xml:space="preserve">Gran parte del valor de la obra de Daniel Schurjin Almenar consiste en que, lejos de mantenerse en el diagnóstico, avanza en propuestas de </w:t>
      </w:r>
      <w:r>
        <w:rPr>
          <w:rFonts w:ascii="Verdana" w:eastAsia="Verdana" w:hAnsi="Verdana" w:cs="Verdana"/>
          <w:sz w:val="22"/>
          <w:szCs w:val="22"/>
        </w:rPr>
        <w:t xml:space="preserve">posibles soluciones para el “entre tanto”. Es decir, elabora alternativas para que los operadores del sistema puedan recalibrar la política criminal, hasta que una nueva reforma solucione (esperemos que definitivamente) el problema.  </w:t>
      </w:r>
    </w:p>
    <w:p w14:paraId="00000020" w14:textId="77777777" w:rsidR="00CD4301" w:rsidRDefault="006F380C">
      <w:pPr>
        <w:spacing w:line="360" w:lineRule="auto"/>
        <w:ind w:hanging="2"/>
        <w:jc w:val="both"/>
        <w:rPr>
          <w:rFonts w:ascii="Verdana" w:eastAsia="Verdana" w:hAnsi="Verdana" w:cs="Verdana"/>
          <w:sz w:val="22"/>
          <w:szCs w:val="22"/>
        </w:rPr>
      </w:pPr>
      <w:r>
        <w:rPr>
          <w:rFonts w:ascii="Verdana" w:eastAsia="Verdana" w:hAnsi="Verdana" w:cs="Verdana"/>
          <w:sz w:val="22"/>
          <w:szCs w:val="22"/>
        </w:rPr>
        <w:t>En definitiva, el lec</w:t>
      </w:r>
      <w:r>
        <w:rPr>
          <w:rFonts w:ascii="Verdana" w:eastAsia="Verdana" w:hAnsi="Verdana" w:cs="Verdana"/>
          <w:sz w:val="22"/>
          <w:szCs w:val="22"/>
        </w:rPr>
        <w:t>tor interesado en el derecho penal económico no puede prescindir de la lectura de esta obra, que centra su atención en dos de los mayores desafíos que debe afrontar esta disciplina: la elección de la mejor política legislativa para delimitar el ámbito de l</w:t>
      </w:r>
      <w:r>
        <w:rPr>
          <w:rFonts w:ascii="Verdana" w:eastAsia="Verdana" w:hAnsi="Verdana" w:cs="Verdana"/>
          <w:sz w:val="22"/>
          <w:szCs w:val="22"/>
        </w:rPr>
        <w:t xml:space="preserve">o objetivamente punible y los contextos económicos determinados por la pérdida de valor de nuestra moneda.   </w:t>
      </w:r>
    </w:p>
    <w:p w14:paraId="00000021" w14:textId="77777777" w:rsidR="00CD4301" w:rsidRDefault="00CD4301">
      <w:pPr>
        <w:spacing w:line="360" w:lineRule="auto"/>
        <w:ind w:hanging="2"/>
        <w:jc w:val="both"/>
        <w:rPr>
          <w:rFonts w:ascii="Verdana" w:eastAsia="Verdana" w:hAnsi="Verdana" w:cs="Verdana"/>
          <w:sz w:val="22"/>
          <w:szCs w:val="22"/>
        </w:rPr>
      </w:pPr>
    </w:p>
    <w:p w14:paraId="00000023" w14:textId="490D5CD6" w:rsidR="00CD4301" w:rsidRPr="00F61DA3" w:rsidRDefault="006F380C" w:rsidP="00F61DA3">
      <w:pPr>
        <w:spacing w:line="360" w:lineRule="auto"/>
        <w:ind w:hanging="2"/>
        <w:jc w:val="both"/>
        <w:rPr>
          <w:rFonts w:ascii="Verdana" w:eastAsia="Verdana" w:hAnsi="Verdana" w:cs="Verdana"/>
          <w:sz w:val="22"/>
          <w:szCs w:val="22"/>
        </w:rPr>
      </w:pPr>
      <w:r>
        <w:rPr>
          <w:rFonts w:ascii="Verdana" w:eastAsia="Verdana" w:hAnsi="Verdana" w:cs="Verdana"/>
          <w:sz w:val="22"/>
          <w:szCs w:val="22"/>
        </w:rPr>
        <w:t>F</w:t>
      </w:r>
      <w:r>
        <w:rPr>
          <w:rFonts w:ascii="Verdana" w:eastAsia="Verdana" w:hAnsi="Verdana" w:cs="Verdana"/>
          <w:sz w:val="22"/>
          <w:szCs w:val="22"/>
        </w:rPr>
        <w:t xml:space="preserve">inalizamos la reseña </w:t>
      </w:r>
      <w:r>
        <w:rPr>
          <w:rFonts w:ascii="Verdana" w:eastAsia="Verdana" w:hAnsi="Verdana" w:cs="Verdana"/>
          <w:sz w:val="22"/>
          <w:szCs w:val="22"/>
        </w:rPr>
        <w:t xml:space="preserve">destacando </w:t>
      </w:r>
      <w:r>
        <w:rPr>
          <w:rFonts w:ascii="Verdana" w:eastAsia="Verdana" w:hAnsi="Verdana" w:cs="Verdana"/>
          <w:sz w:val="22"/>
          <w:szCs w:val="22"/>
        </w:rPr>
        <w:t>los roles de</w:t>
      </w:r>
      <w:r w:rsidR="00F61DA3">
        <w:rPr>
          <w:rFonts w:ascii="Verdana" w:eastAsia="Verdana" w:hAnsi="Verdana" w:cs="Verdana"/>
          <w:sz w:val="22"/>
          <w:szCs w:val="22"/>
        </w:rPr>
        <w:t xml:space="preserve"> la Dra. Carolina I. Robiglio, </w:t>
      </w:r>
      <w:r>
        <w:rPr>
          <w:rFonts w:ascii="Verdana" w:eastAsia="Verdana" w:hAnsi="Verdana" w:cs="Verdana"/>
          <w:sz w:val="22"/>
          <w:szCs w:val="22"/>
        </w:rPr>
        <w:t xml:space="preserve">Rubén Villela y Ad-Hoc S.R.L. Sobre la primera, constante </w:t>
      </w:r>
      <w:r>
        <w:rPr>
          <w:rFonts w:ascii="Verdana" w:eastAsia="Verdana" w:hAnsi="Verdana" w:cs="Verdana"/>
          <w:sz w:val="22"/>
          <w:szCs w:val="22"/>
        </w:rPr>
        <w:t>y generosa</w:t>
      </w:r>
      <w:r>
        <w:rPr>
          <w:rFonts w:ascii="Verdana" w:eastAsia="Verdana" w:hAnsi="Verdana" w:cs="Verdana"/>
          <w:sz w:val="22"/>
          <w:szCs w:val="22"/>
        </w:rPr>
        <w:t xml:space="preserve"> con </w:t>
      </w:r>
      <w:r>
        <w:rPr>
          <w:rFonts w:ascii="Verdana" w:eastAsia="Verdana" w:hAnsi="Verdana" w:cs="Verdana"/>
          <w:sz w:val="22"/>
          <w:szCs w:val="22"/>
        </w:rPr>
        <w:t xml:space="preserve">su escaso tiempo y </w:t>
      </w:r>
      <w:r>
        <w:rPr>
          <w:rFonts w:ascii="Verdana" w:eastAsia="Verdana" w:hAnsi="Verdana" w:cs="Verdana"/>
          <w:sz w:val="22"/>
          <w:szCs w:val="22"/>
        </w:rPr>
        <w:t xml:space="preserve">rica </w:t>
      </w:r>
      <w:r>
        <w:rPr>
          <w:rFonts w:ascii="Verdana" w:eastAsia="Verdana" w:hAnsi="Verdana" w:cs="Verdana"/>
          <w:sz w:val="22"/>
          <w:szCs w:val="22"/>
        </w:rPr>
        <w:t>fo</w:t>
      </w:r>
      <w:r>
        <w:rPr>
          <w:rFonts w:ascii="Verdana" w:eastAsia="Verdana" w:hAnsi="Verdana" w:cs="Verdana"/>
          <w:sz w:val="22"/>
          <w:szCs w:val="22"/>
        </w:rPr>
        <w:t xml:space="preserve">rmación para compartir sus conocimientos, esta vez desde el rol de directora de la necesaria Colección dedicada a los Delitos Económicos, editada y publicada por Editorial Ad-Hoc. </w:t>
      </w:r>
      <w:r>
        <w:rPr>
          <w:rFonts w:ascii="Verdana" w:eastAsia="Verdana" w:hAnsi="Verdana" w:cs="Verdana"/>
          <w:sz w:val="22"/>
          <w:szCs w:val="22"/>
        </w:rPr>
        <w:t>En cuanto a Rub</w:t>
      </w:r>
      <w:r>
        <w:rPr>
          <w:rFonts w:ascii="Verdana" w:eastAsia="Verdana" w:hAnsi="Verdana" w:cs="Verdana"/>
          <w:sz w:val="22"/>
          <w:szCs w:val="22"/>
        </w:rPr>
        <w:t>é</w:t>
      </w:r>
      <w:r>
        <w:rPr>
          <w:rFonts w:ascii="Verdana" w:eastAsia="Verdana" w:hAnsi="Verdana" w:cs="Verdana"/>
          <w:sz w:val="22"/>
          <w:szCs w:val="22"/>
        </w:rPr>
        <w:t xml:space="preserve">n y equipo, </w:t>
      </w:r>
      <w:r>
        <w:rPr>
          <w:rFonts w:ascii="Verdana" w:eastAsia="Verdana" w:hAnsi="Verdana" w:cs="Verdana"/>
          <w:sz w:val="22"/>
          <w:szCs w:val="22"/>
        </w:rPr>
        <w:t>c</w:t>
      </w:r>
      <w:r>
        <w:rPr>
          <w:rFonts w:ascii="Verdana" w:eastAsia="Verdana" w:hAnsi="Verdana" w:cs="Verdana"/>
          <w:sz w:val="22"/>
          <w:szCs w:val="22"/>
        </w:rPr>
        <w:t xml:space="preserve">omo ya hemos </w:t>
      </w:r>
      <w:r>
        <w:rPr>
          <w:rFonts w:ascii="Verdana" w:eastAsia="Verdana" w:hAnsi="Verdana" w:cs="Verdana"/>
          <w:sz w:val="22"/>
          <w:szCs w:val="22"/>
        </w:rPr>
        <w:t>exp</w:t>
      </w:r>
      <w:r>
        <w:rPr>
          <w:rFonts w:ascii="Verdana" w:eastAsia="Verdana" w:hAnsi="Verdana" w:cs="Verdana"/>
          <w:sz w:val="22"/>
          <w:szCs w:val="22"/>
        </w:rPr>
        <w:t>resado en anteriores oportunidades, c</w:t>
      </w:r>
      <w:r>
        <w:rPr>
          <w:rFonts w:ascii="Verdana" w:eastAsia="Verdana" w:hAnsi="Verdana" w:cs="Verdana"/>
          <w:sz w:val="22"/>
          <w:szCs w:val="22"/>
        </w:rPr>
        <w:t xml:space="preserve">onocemos en primera persona su labor, alentando la publicación de autores con destacada trayectoria -como el de la obra que reseñamos-, pero también de </w:t>
      </w:r>
      <w:r>
        <w:rPr>
          <w:rFonts w:ascii="Verdana" w:eastAsia="Verdana" w:hAnsi="Verdana" w:cs="Verdana"/>
          <w:sz w:val="22"/>
          <w:szCs w:val="22"/>
        </w:rPr>
        <w:lastRenderedPageBreak/>
        <w:t>nuevos juristas, por encima de todos los contextos que la actividad</w:t>
      </w:r>
      <w:r w:rsidR="00F61DA3">
        <w:rPr>
          <w:rFonts w:ascii="Verdana" w:eastAsia="Verdana" w:hAnsi="Verdana" w:cs="Verdana"/>
          <w:sz w:val="22"/>
          <w:szCs w:val="22"/>
        </w:rPr>
        <w:t xml:space="preserve"> comercial debe afrontar.</w:t>
      </w:r>
      <w:bookmarkStart w:id="0" w:name="_GoBack"/>
      <w:bookmarkEnd w:id="0"/>
    </w:p>
    <w:sectPr w:rsidR="00CD4301" w:rsidRPr="00F61DA3">
      <w:headerReference w:type="even" r:id="rId6"/>
      <w:headerReference w:type="default" r:id="rId7"/>
      <w:footerReference w:type="default" r:id="rId8"/>
      <w:headerReference w:type="first" r:id="rId9"/>
      <w:pgSz w:w="11907" w:h="16840"/>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DBBD3" w14:textId="77777777" w:rsidR="006F380C" w:rsidRDefault="006F380C">
      <w:pPr>
        <w:spacing w:line="240" w:lineRule="auto"/>
        <w:ind w:left="0" w:hanging="3"/>
      </w:pPr>
      <w:r>
        <w:separator/>
      </w:r>
    </w:p>
  </w:endnote>
  <w:endnote w:type="continuationSeparator" w:id="0">
    <w:p w14:paraId="35A20DC8" w14:textId="77777777" w:rsidR="006F380C" w:rsidRDefault="006F380C">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A" w14:textId="77777777" w:rsidR="00CD4301" w:rsidRDefault="006F380C">
    <w:pPr>
      <w:pBdr>
        <w:top w:val="nil"/>
        <w:left w:val="nil"/>
        <w:bottom w:val="nil"/>
        <w:right w:val="nil"/>
        <w:between w:val="nil"/>
      </w:pBdr>
      <w:tabs>
        <w:tab w:val="center" w:pos="4419"/>
        <w:tab w:val="right" w:pos="8838"/>
      </w:tabs>
      <w:spacing w:line="240" w:lineRule="auto"/>
      <w:ind w:hanging="2"/>
      <w:jc w:val="center"/>
      <w:rPr>
        <w:rFonts w:ascii="Verdana" w:eastAsia="Verdana" w:hAnsi="Verdana" w:cs="Verdana"/>
        <w:color w:val="000000"/>
        <w:sz w:val="24"/>
        <w:szCs w:val="24"/>
      </w:rPr>
    </w:pPr>
    <w:r>
      <w:rPr>
        <w:rFonts w:ascii="Verdana" w:eastAsia="Verdana" w:hAnsi="Verdana" w:cs="Verdana"/>
        <w:color w:val="000000"/>
        <w:sz w:val="24"/>
        <w:szCs w:val="24"/>
      </w:rPr>
      <w:t>Centro Argentino de Estudios en lo Penal Tributario</w:t>
    </w:r>
    <w:r>
      <w:pict w14:anchorId="314E4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8931" o:spid="_x0000_s3077" type="#_x0000_t75" style="position:absolute;left:0;text-align:left;margin-left:0;margin-top:0;width:425pt;height:5in;z-index:251659264;mso-position-horizontal:absolute;mso-position-horizontal-relative:margin;mso-position-vertical:absolute;mso-position-vertical-relative:text">
          <v:imagedata r:id="rId1" o:title="" gain="19661f" blacklevel="22938f"/>
          <w10:wrap anchorx="margin"/>
        </v:shape>
      </w:pict>
    </w:r>
  </w:p>
  <w:p w14:paraId="0000002B" w14:textId="77777777" w:rsidR="00CD4301" w:rsidRDefault="00CD4301">
    <w:pPr>
      <w:widowControl w:val="0"/>
      <w:pBdr>
        <w:top w:val="nil"/>
        <w:left w:val="nil"/>
        <w:bottom w:val="nil"/>
        <w:right w:val="nil"/>
        <w:between w:val="nil"/>
      </w:pBdr>
      <w:tabs>
        <w:tab w:val="center" w:pos="4419"/>
        <w:tab w:val="right" w:pos="8838"/>
      </w:tabs>
      <w:spacing w:line="240" w:lineRule="auto"/>
      <w:ind w:hanging="2"/>
      <w:rPr>
        <w:color w:val="000000"/>
        <w:sz w:val="24"/>
        <w:szCs w:val="24"/>
      </w:rPr>
    </w:pPr>
  </w:p>
  <w:p w14:paraId="0000002C" w14:textId="77777777" w:rsidR="00CD4301" w:rsidRDefault="00CD4301">
    <w:pPr>
      <w:widowControl w:val="0"/>
      <w:pBdr>
        <w:top w:val="nil"/>
        <w:left w:val="nil"/>
        <w:bottom w:val="nil"/>
        <w:right w:val="nil"/>
        <w:between w:val="nil"/>
      </w:pBdr>
      <w:tabs>
        <w:tab w:val="center" w:pos="4419"/>
        <w:tab w:val="right" w:pos="8838"/>
      </w:tabs>
      <w:spacing w:line="240" w:lineRule="auto"/>
      <w:ind w:hanging="2"/>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956EC" w14:textId="77777777" w:rsidR="006F380C" w:rsidRDefault="006F380C">
      <w:pPr>
        <w:spacing w:line="240" w:lineRule="auto"/>
        <w:ind w:left="0" w:hanging="3"/>
      </w:pPr>
      <w:r>
        <w:separator/>
      </w:r>
    </w:p>
  </w:footnote>
  <w:footnote w:type="continuationSeparator" w:id="0">
    <w:p w14:paraId="05BF9C68" w14:textId="77777777" w:rsidR="006F380C" w:rsidRDefault="006F380C">
      <w:pPr>
        <w:spacing w:line="240" w:lineRule="auto"/>
        <w:ind w:left="0" w:hanging="3"/>
      </w:pPr>
      <w:r>
        <w:continuationSeparator/>
      </w:r>
    </w:p>
  </w:footnote>
  <w:footnote w:id="1">
    <w:p w14:paraId="0000002D" w14:textId="77777777" w:rsidR="00CD4301" w:rsidRDefault="006F380C">
      <w:pPr>
        <w:ind w:left="0" w:hanging="3"/>
        <w:jc w:val="both"/>
        <w:rPr>
          <w:rFonts w:ascii="Verdana" w:eastAsia="Verdana" w:hAnsi="Verdana" w:cs="Verdana"/>
          <w:sz w:val="22"/>
          <w:szCs w:val="22"/>
        </w:rPr>
      </w:pPr>
      <w:r>
        <w:rPr>
          <w:vertAlign w:val="superscript"/>
        </w:rPr>
        <w:footnoteRef/>
      </w:r>
      <w:r>
        <w:rPr>
          <w:rFonts w:ascii="Verdana" w:eastAsia="Verdana" w:hAnsi="Verdana" w:cs="Verdana"/>
          <w:sz w:val="22"/>
          <w:szCs w:val="22"/>
        </w:rPr>
        <w:t xml:space="preserve"> </w:t>
      </w:r>
      <w:proofErr w:type="spellStart"/>
      <w:r>
        <w:rPr>
          <w:rFonts w:ascii="Verdana" w:eastAsia="Verdana" w:hAnsi="Verdana" w:cs="Verdana"/>
          <w:sz w:val="22"/>
          <w:szCs w:val="22"/>
        </w:rPr>
        <w:t>Vgr</w:t>
      </w:r>
      <w:proofErr w:type="spellEnd"/>
      <w:r>
        <w:rPr>
          <w:rFonts w:ascii="Verdana" w:eastAsia="Verdana" w:hAnsi="Verdana" w:cs="Verdana"/>
          <w:sz w:val="22"/>
          <w:szCs w:val="22"/>
        </w:rPr>
        <w:t>. ARGENTINA, ley 23.771, art. 1; ECUADOR, Código Orgánico Integral Penal, art. 298; URUGUAY, Código tributario, art. 110</w:t>
      </w:r>
      <w:r>
        <w:rPr>
          <w:rFonts w:ascii="Verdana" w:eastAsia="Verdana" w:hAnsi="Verdana" w:cs="Verdana"/>
          <w:sz w:val="22"/>
          <w:szCs w:val="22"/>
          <w:highlight w:val="white"/>
        </w:rPr>
        <w:t>.</w:t>
      </w:r>
    </w:p>
  </w:footnote>
  <w:footnote w:id="2">
    <w:p w14:paraId="0000002E" w14:textId="77777777" w:rsidR="00CD4301" w:rsidRDefault="006F380C">
      <w:pPr>
        <w:ind w:left="0" w:hanging="3"/>
        <w:jc w:val="both"/>
        <w:rPr>
          <w:rFonts w:ascii="Verdana" w:eastAsia="Verdana" w:hAnsi="Verdana" w:cs="Verdana"/>
          <w:sz w:val="22"/>
          <w:szCs w:val="22"/>
        </w:rPr>
      </w:pPr>
      <w:r>
        <w:rPr>
          <w:vertAlign w:val="superscript"/>
        </w:rPr>
        <w:footnoteRef/>
      </w:r>
      <w:r>
        <w:rPr>
          <w:rFonts w:ascii="Verdana" w:eastAsia="Verdana" w:hAnsi="Verdana" w:cs="Verdana"/>
          <w:sz w:val="22"/>
          <w:szCs w:val="22"/>
        </w:rPr>
        <w:t xml:space="preserve">"Según que el objeto de la acción del tipo deba ser dañado o sólo puesto en peligro en su integridad, se distingue entre delitos </w:t>
      </w:r>
      <w:r>
        <w:rPr>
          <w:rFonts w:ascii="Verdana" w:eastAsia="Verdana" w:hAnsi="Verdana" w:cs="Verdana"/>
          <w:sz w:val="22"/>
          <w:szCs w:val="22"/>
        </w:rPr>
        <w:t>de lesión y de peligro. En los delitos de lesión, que constituyen la mayor parte de los tipos, el objeto de la acción ha de ser realmente dañado para que haya un hecho consumado; así sucede en los delitos de homicidio (§§ 211 ss.), en los delitos de lesion</w:t>
      </w:r>
      <w:r>
        <w:rPr>
          <w:rFonts w:ascii="Verdana" w:eastAsia="Verdana" w:hAnsi="Verdana" w:cs="Verdana"/>
          <w:sz w:val="22"/>
          <w:szCs w:val="22"/>
        </w:rPr>
        <w:t>es (§§ 223 ss.), en los daños (§ 303), etc. En cambio, en los delitos de peligro el hecho sólo supone una amenaza más o menos intensa para el objeto de la acción". ROXIN, Claus; Derecho Penal. Parte General, tomo I, 1° ed.; Civitas; Madrid;1997; p. 335.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4" w14:textId="77777777" w:rsidR="00CD4301" w:rsidRDefault="006F380C">
    <w:pPr>
      <w:pBdr>
        <w:top w:val="nil"/>
        <w:left w:val="nil"/>
        <w:bottom w:val="nil"/>
        <w:right w:val="nil"/>
        <w:between w:val="nil"/>
      </w:pBdr>
      <w:tabs>
        <w:tab w:val="center" w:pos="4419"/>
        <w:tab w:val="right" w:pos="8838"/>
      </w:tabs>
      <w:spacing w:line="240" w:lineRule="auto"/>
      <w:ind w:left="0" w:hanging="3"/>
      <w:rPr>
        <w:color w:val="000000"/>
      </w:rPr>
    </w:pPr>
    <w:r>
      <w:rPr>
        <w:color w:val="000000"/>
      </w:rPr>
      <w:pict w14:anchorId="50DB2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8" type="#_x0000_t75" alt="" style="position:absolute;margin-left:0;margin-top:0;width:425pt;height:5in;z-index:-251658240;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77777777" w:rsidR="00CD4301" w:rsidRDefault="00CD4301">
    <w:pPr>
      <w:pBdr>
        <w:top w:val="nil"/>
        <w:left w:val="nil"/>
        <w:bottom w:val="nil"/>
        <w:right w:val="nil"/>
        <w:between w:val="nil"/>
      </w:pBdr>
      <w:tabs>
        <w:tab w:val="center" w:pos="4419"/>
        <w:tab w:val="right" w:pos="8838"/>
      </w:tabs>
      <w:spacing w:line="240" w:lineRule="auto"/>
      <w:ind w:hanging="2"/>
      <w:rPr>
        <w:rFonts w:ascii="Verdana" w:eastAsia="Verdana" w:hAnsi="Verdana" w:cs="Verdana"/>
        <w:color w:val="000000"/>
        <w:sz w:val="24"/>
        <w:szCs w:val="24"/>
      </w:rPr>
    </w:pPr>
  </w:p>
  <w:p w14:paraId="00000027" w14:textId="77777777" w:rsidR="00CD4301" w:rsidRDefault="00CD4301">
    <w:pPr>
      <w:pBdr>
        <w:top w:val="nil"/>
        <w:left w:val="nil"/>
        <w:bottom w:val="nil"/>
        <w:right w:val="nil"/>
        <w:between w:val="nil"/>
      </w:pBdr>
      <w:tabs>
        <w:tab w:val="center" w:pos="4419"/>
        <w:tab w:val="right" w:pos="8838"/>
      </w:tabs>
      <w:spacing w:line="240" w:lineRule="auto"/>
      <w:ind w:hanging="2"/>
      <w:rPr>
        <w:rFonts w:ascii="Verdana" w:eastAsia="Verdana" w:hAnsi="Verdana" w:cs="Verdana"/>
        <w:color w:val="000000"/>
        <w:sz w:val="24"/>
        <w:szCs w:val="24"/>
      </w:rPr>
    </w:pPr>
  </w:p>
  <w:p w14:paraId="00000028" w14:textId="77777777" w:rsidR="00CD4301" w:rsidRDefault="006F380C">
    <w:pPr>
      <w:pBdr>
        <w:top w:val="nil"/>
        <w:left w:val="nil"/>
        <w:bottom w:val="nil"/>
        <w:right w:val="nil"/>
        <w:between w:val="nil"/>
      </w:pBdr>
      <w:tabs>
        <w:tab w:val="center" w:pos="4419"/>
        <w:tab w:val="right" w:pos="8838"/>
      </w:tabs>
      <w:spacing w:line="240" w:lineRule="auto"/>
      <w:ind w:left="0" w:hanging="3"/>
      <w:jc w:val="center"/>
      <w:rPr>
        <w:rFonts w:ascii="Verdana" w:eastAsia="Verdana" w:hAnsi="Verdana" w:cs="Verdana"/>
        <w:sz w:val="24"/>
        <w:szCs w:val="24"/>
      </w:rPr>
    </w:pPr>
    <w:r>
      <w:rPr>
        <w:color w:val="000000"/>
      </w:rPr>
      <w:pict w14:anchorId="0C9B1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80" type="#_x0000_t75" alt="" style="position:absolute;left:0;text-align:left;margin-left:0;margin-top:0;width:425pt;height:5in;z-index:-251660288;mso-position-horizontal:center;mso-position-horizontal-relative:margin;mso-position-vertical:center;mso-position-vertical-relative:margin">
          <v:imagedata r:id="rId1" o:title="image2" gain="19661f" blacklevel="22938f"/>
          <w10:wrap anchorx="margin" anchory="margin"/>
        </v:shape>
      </w:pict>
    </w:r>
    <w:r>
      <w:rPr>
        <w:rFonts w:ascii="Verdana" w:eastAsia="Verdana" w:hAnsi="Verdana" w:cs="Verdana"/>
        <w:color w:val="000000"/>
        <w:sz w:val="24"/>
        <w:szCs w:val="24"/>
      </w:rPr>
      <w:t xml:space="preserve">Revista de Derecho Penal Tributario       </w:t>
    </w:r>
  </w:p>
  <w:p w14:paraId="00000029" w14:textId="77777777" w:rsidR="00CD4301" w:rsidRDefault="00CD4301">
    <w:pPr>
      <w:pBdr>
        <w:top w:val="nil"/>
        <w:left w:val="nil"/>
        <w:bottom w:val="nil"/>
        <w:right w:val="nil"/>
        <w:between w:val="nil"/>
      </w:pBdr>
      <w:tabs>
        <w:tab w:val="center" w:pos="4419"/>
        <w:tab w:val="right" w:pos="8838"/>
      </w:tabs>
      <w:spacing w:line="240" w:lineRule="auto"/>
      <w:ind w:hanging="2"/>
      <w:jc w:val="center"/>
      <w:rPr>
        <w:rFonts w:ascii="Verdana" w:eastAsia="Verdana" w:hAnsi="Verdana" w:cs="Verdana"/>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77777777" w:rsidR="00CD4301" w:rsidRDefault="006F380C">
    <w:pPr>
      <w:pBdr>
        <w:top w:val="nil"/>
        <w:left w:val="nil"/>
        <w:bottom w:val="nil"/>
        <w:right w:val="nil"/>
        <w:between w:val="nil"/>
      </w:pBdr>
      <w:tabs>
        <w:tab w:val="center" w:pos="4419"/>
        <w:tab w:val="right" w:pos="8838"/>
      </w:tabs>
      <w:spacing w:line="240" w:lineRule="auto"/>
      <w:ind w:left="0" w:hanging="3"/>
      <w:rPr>
        <w:color w:val="000000"/>
      </w:rPr>
    </w:pPr>
    <w:r>
      <w:rPr>
        <w:color w:val="000000"/>
      </w:rPr>
      <w:pict w14:anchorId="77678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9" type="#_x0000_t75" alt="" style="position:absolute;margin-left:0;margin-top:0;width:425pt;height:5in;z-index:-251659264;mso-position-horizontal:center;mso-position-horizontal-relative:margin;mso-position-vertical:center;mso-position-vertical-relative:margin">
          <v:imagedata r:id="rId1" o:title="image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81"/>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01"/>
    <w:rsid w:val="006F380C"/>
    <w:rsid w:val="00CD4301"/>
    <w:rsid w:val="00F6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1"/>
    <o:shapelayout v:ext="edit">
      <o:idmap v:ext="edit" data="1"/>
    </o:shapelayout>
  </w:shapeDefaults>
  <w:decimalSymbol w:val="."/>
  <w:listSeparator w:val=","/>
  <w14:docId w14:val="414A2D3C"/>
  <w15:docId w15:val="{0C38EC14-2683-4D27-9456-5A51D244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pPr>
      <w:spacing w:before="100" w:beforeAutospacing="1" w:after="100" w:afterAutospacing="1"/>
      <w:outlineLvl w:val="2"/>
    </w:pPr>
    <w:rPr>
      <w:b/>
      <w:bCs/>
      <w:sz w:val="27"/>
      <w:szCs w:val="27"/>
      <w:lang w:val="es-AR" w:eastAsia="es-AR"/>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pPr>
      <w:jc w:val="both"/>
    </w:pPr>
    <w:rPr>
      <w:sz w:val="24"/>
      <w:szCs w:val="24"/>
    </w:rPr>
  </w:style>
  <w:style w:type="character" w:styleId="Refdenotaalpie">
    <w:name w:val="footnote reference"/>
    <w:rPr>
      <w:w w:val="100"/>
      <w:position w:val="-1"/>
      <w:effect w:val="none"/>
      <w:vertAlign w:val="superscript"/>
      <w:cs w:val="0"/>
      <w:em w:val="none"/>
    </w:rPr>
  </w:style>
  <w:style w:type="paragraph" w:customStyle="1" w:styleId="western">
    <w:name w:val="western"/>
    <w:basedOn w:val="Normal"/>
    <w:pPr>
      <w:spacing w:before="100" w:beforeAutospacing="1"/>
      <w:jc w:val="both"/>
    </w:pPr>
    <w:rPr>
      <w:rFonts w:ascii="Arial Unicode MS" w:eastAsia="Arial Unicode MS" w:hAnsi="Arial Unicode MS" w:cs="Arial Unicode MS" w:hint="eastAsia"/>
      <w:sz w:val="24"/>
      <w:szCs w:val="24"/>
    </w:rPr>
  </w:style>
  <w:style w:type="paragraph" w:styleId="Piedepgina">
    <w:name w:val="footer"/>
    <w:basedOn w:val="Normal"/>
    <w:pPr>
      <w:widowControl w:val="0"/>
      <w:tabs>
        <w:tab w:val="center" w:pos="4419"/>
        <w:tab w:val="right" w:pos="8838"/>
      </w:tabs>
      <w:suppressAutoHyphens w:val="0"/>
    </w:pPr>
    <w:rPr>
      <w:color w:val="000000"/>
      <w:sz w:val="24"/>
      <w:szCs w:val="24"/>
      <w:lang w:val="es-AR"/>
    </w:rPr>
  </w:style>
  <w:style w:type="character" w:customStyle="1" w:styleId="PiedepginaCar">
    <w:name w:val="Pie de página Car"/>
    <w:rPr>
      <w:color w:val="000000"/>
      <w:w w:val="100"/>
      <w:position w:val="-1"/>
      <w:sz w:val="24"/>
      <w:szCs w:val="24"/>
      <w:effect w:val="none"/>
      <w:vertAlign w:val="baseline"/>
      <w:cs w:val="0"/>
      <w:em w:val="none"/>
      <w:lang w:eastAsia="es-ES"/>
    </w:rPr>
  </w:style>
  <w:style w:type="paragraph" w:styleId="Textonotapie">
    <w:name w:val="footnote text"/>
    <w:basedOn w:val="Normal"/>
    <w:qFormat/>
    <w:pPr>
      <w:widowControl w:val="0"/>
      <w:suppressLineNumbers/>
      <w:suppressAutoHyphens w:val="0"/>
      <w:ind w:left="283" w:hanging="283"/>
    </w:pPr>
    <w:rPr>
      <w:sz w:val="20"/>
      <w:lang w:val="es-AR"/>
    </w:rPr>
  </w:style>
  <w:style w:type="character" w:customStyle="1" w:styleId="TextonotapieCar">
    <w:name w:val="Texto nota pie Car"/>
    <w:rPr>
      <w:w w:val="100"/>
      <w:position w:val="-1"/>
      <w:effect w:val="none"/>
      <w:vertAlign w:val="baseline"/>
      <w:cs w:val="0"/>
      <w:em w:val="none"/>
      <w:lang w:eastAsia="es-ES"/>
    </w:rPr>
  </w:style>
  <w:style w:type="character" w:customStyle="1" w:styleId="Ttulo3Car">
    <w:name w:val="Título 3 Car"/>
    <w:rPr>
      <w:b/>
      <w:bCs/>
      <w:w w:val="100"/>
      <w:position w:val="-1"/>
      <w:sz w:val="27"/>
      <w:szCs w:val="27"/>
      <w:effect w:val="none"/>
      <w:vertAlign w:val="baseline"/>
      <w:cs w:val="0"/>
      <w:em w:val="none"/>
    </w:rPr>
  </w:style>
  <w:style w:type="character" w:styleId="Hipervnculo">
    <w:name w:val="Hyperlink"/>
    <w:qFormat/>
    <w:rPr>
      <w:color w:val="0000FF"/>
      <w:w w:val="100"/>
      <w:position w:val="-1"/>
      <w:u w:val="single"/>
      <w:effect w:val="none"/>
      <w:vertAlign w:val="baseline"/>
      <w:cs w:val="0"/>
      <w:em w:val="none"/>
    </w:rPr>
  </w:style>
  <w:style w:type="paragraph" w:customStyle="1" w:styleId="profile-textblock">
    <w:name w:val="profile-textblock"/>
    <w:basedOn w:val="Normal"/>
    <w:pPr>
      <w:spacing w:before="100" w:beforeAutospacing="1" w:after="100" w:afterAutospacing="1"/>
    </w:pPr>
    <w:rPr>
      <w:sz w:val="24"/>
      <w:szCs w:val="24"/>
      <w:lang w:val="es-AR" w:eastAsia="es-AR"/>
    </w:rPr>
  </w:style>
  <w:style w:type="paragraph" w:styleId="Encabezado">
    <w:name w:val="header"/>
    <w:basedOn w:val="Normal"/>
    <w:pPr>
      <w:tabs>
        <w:tab w:val="center" w:pos="4419"/>
        <w:tab w:val="right" w:pos="8838"/>
      </w:tabs>
    </w:pPr>
  </w:style>
  <w:style w:type="character" w:customStyle="1" w:styleId="EncabezadoCar">
    <w:name w:val="Encabezado Car"/>
    <w:rPr>
      <w:w w:val="100"/>
      <w:position w:val="-1"/>
      <w:sz w:val="28"/>
      <w:effect w:val="none"/>
      <w:vertAlign w:val="baseline"/>
      <w:cs w:val="0"/>
      <w:em w:val="none"/>
      <w:lang w:val="es-ES" w:eastAsia="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sz w:val="24"/>
      <w:szCs w:val="24"/>
      <w:lang w:val="es-AR" w:eastAsia="es-AR"/>
    </w:rPr>
  </w:style>
  <w:style w:type="paragraph" w:styleId="NormalWeb">
    <w:name w:val="Normal (Web)"/>
    <w:basedOn w:val="Normal"/>
    <w:qFormat/>
    <w:pPr>
      <w:spacing w:before="100" w:beforeAutospacing="1" w:after="100" w:afterAutospacing="1"/>
    </w:pPr>
    <w:rPr>
      <w:sz w:val="24"/>
      <w:szCs w:val="24"/>
    </w:rPr>
  </w:style>
  <w:style w:type="paragraph" w:customStyle="1" w:styleId="yiv5119687748msonormal">
    <w:name w:val="yiv5119687748msonormal"/>
    <w:basedOn w:val="Normal"/>
    <w:pPr>
      <w:spacing w:before="100" w:beforeAutospacing="1" w:after="100" w:afterAutospacing="1"/>
    </w:pPr>
    <w:rPr>
      <w:sz w:val="24"/>
      <w:szCs w:val="24"/>
      <w:lang w:val="es-AR" w:eastAsia="es-AR"/>
    </w:rPr>
  </w:style>
  <w:style w:type="character" w:customStyle="1" w:styleId="df">
    <w:name w:val="d_f"/>
    <w:rPr>
      <w:w w:val="100"/>
      <w:position w:val="-1"/>
      <w:effect w:val="none"/>
      <w:vertAlign w:val="baseline"/>
      <w:cs w:val="0"/>
      <w:em w:val="none"/>
    </w:rPr>
  </w:style>
  <w:style w:type="paragraph" w:customStyle="1" w:styleId="yiv9828661580msonormal">
    <w:name w:val="yiv9828661580msonormal"/>
    <w:basedOn w:val="Normal"/>
    <w:pPr>
      <w:spacing w:before="100" w:beforeAutospacing="1" w:after="100" w:afterAutospacing="1"/>
    </w:pPr>
    <w:rPr>
      <w:sz w:val="24"/>
      <w:szCs w:val="24"/>
      <w:lang w:val="es-AR" w:eastAsia="es-AR"/>
    </w:rPr>
  </w:style>
  <w:style w:type="paragraph" w:customStyle="1" w:styleId="simpleizquierdanone">
    <w:name w:val="simple izquierda none"/>
    <w:basedOn w:val="Normal"/>
    <w:pPr>
      <w:spacing w:before="100" w:beforeAutospacing="1" w:after="240"/>
    </w:pPr>
    <w:rPr>
      <w:sz w:val="24"/>
      <w:szCs w:val="24"/>
    </w:rPr>
  </w:style>
  <w:style w:type="character" w:customStyle="1" w:styleId="searchterm">
    <w:name w:val="searchterm"/>
    <w:rPr>
      <w:w w:val="100"/>
      <w:position w:val="-1"/>
      <w:effect w:val="none"/>
      <w:vertAlign w:val="baseline"/>
      <w:cs w:val="0"/>
      <w:em w:val="none"/>
    </w:rPr>
  </w:style>
  <w:style w:type="character" w:customStyle="1" w:styleId="negritaningunanormal">
    <w:name w:val="negrita ninguna normal"/>
    <w:rPr>
      <w:w w:val="100"/>
      <w:position w:val="-1"/>
      <w:effect w:val="none"/>
      <w:vertAlign w:val="baseline"/>
      <w:cs w:val="0"/>
      <w:em w:val="none"/>
    </w:rPr>
  </w:style>
  <w:style w:type="character" w:customStyle="1" w:styleId="normalningunaningunacursiva">
    <w:name w:val="normal ninguna ningunacursiva"/>
    <w:rPr>
      <w:w w:val="100"/>
      <w:position w:val="-1"/>
      <w:effect w:val="none"/>
      <w:vertAlign w:val="baseline"/>
      <w:cs w:val="0"/>
      <w:em w:val="none"/>
    </w:rPr>
  </w:style>
  <w:style w:type="paragraph" w:customStyle="1" w:styleId="p2">
    <w:name w:val="p2"/>
    <w:basedOn w:val="Normal"/>
    <w:pPr>
      <w:spacing w:before="100" w:beforeAutospacing="1" w:after="100" w:afterAutospacing="1"/>
    </w:pPr>
    <w:rPr>
      <w:sz w:val="24"/>
      <w:szCs w:val="24"/>
    </w:rPr>
  </w:style>
  <w:style w:type="character" w:customStyle="1" w:styleId="WW-Smbolodenotaalpie111111111111111111111">
    <w:name w:val="WW-Símbolo de nota al pie111111111111111111111"/>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rosina</dc:creator>
  <cp:lastModifiedBy>Daniel</cp:lastModifiedBy>
  <cp:revision>2</cp:revision>
  <dcterms:created xsi:type="dcterms:W3CDTF">2023-07-31T13:42:00Z</dcterms:created>
  <dcterms:modified xsi:type="dcterms:W3CDTF">2023-07-31T13:42:00Z</dcterms:modified>
</cp:coreProperties>
</file>